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30/65-2026-036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16.04.2026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Neubau Grundschule Grebben/Aufzugsanlage</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Das 2-geschossige Gebäudetragwerk wird in Stahlbeton geplant. Die
innenliegenden Flurwände werden in Sichtbeton hergestellt. Die vertikalen
Lasten werden im Wesentlichen ohne Abfangkonstruktionen in die
Gründungsbauteile eingeleitet. Sämtliche Treppenhäuser und
Erschließungsschächte werden als gebäudeaussteifende Kerne in
Massivbauweise geplant. Über die Deckenscheiben werden die
Horizontallasten geschossweise in die Wandscheiben weitergeleitet. Der
große Mensabereich kann ohne Unterzüge realisiert werden, die
Geschossdecke wird über Rundstützen im EG und dem wandartigen Träger
im OG abgefangen.
Bauabschnitte
Die Umsetzung erfolgt in 2 Bauabschnitten. Der Neubau wird auf dem
nördlichen Grundstücksteil erstellt. Während der Bauphase wird das südliche
Grundstücksteil mit dem Bestandgebäude durch einen Bauzaun abgetrennt.
Die Zugänge zur Bestandsschule und der Sporthalle sind frei zugänglich.
Nach Fertigstellung des Neubaus erfolgt der Abriss des Bestandsgebäudes
und die Ergänzung der südlichen Freiflächen.
Kennzahlen
BGF Bruttogeschossfläche: ca. 3.541m2
BRI Bruttorauminhalt: ca. 15.639m3</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